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9D" w:rsidRDefault="00A2279D" w:rsidP="00A2279D">
      <w:pPr>
        <w:pStyle w:val="En-tte"/>
        <w:jc w:val="center"/>
      </w:pPr>
      <w:r>
        <w:rPr>
          <w:noProof/>
          <w:lang w:eastAsia="fr-FR"/>
        </w:rPr>
        <w:drawing>
          <wp:inline distT="0" distB="0" distL="0" distR="0">
            <wp:extent cx="986724" cy="540000"/>
            <wp:effectExtent l="19050" t="0" r="3876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24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47168" cy="540000"/>
            <wp:effectExtent l="19050" t="0" r="5282" b="0"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68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42705" cy="54000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05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90554" cy="540000"/>
            <wp:effectExtent l="19050" t="0" r="0" b="0"/>
            <wp:docPr id="8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4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1123718" cy="540000"/>
            <wp:effectExtent l="19050" t="0" r="232" b="0"/>
            <wp:docPr id="9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718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79D" w:rsidRDefault="00A2279D" w:rsidP="00A2279D">
      <w:pPr>
        <w:shd w:val="clear" w:color="auto" w:fill="FFFFFF"/>
        <w:spacing w:after="0" w:line="240" w:lineRule="auto"/>
        <w:jc w:val="center"/>
        <w:rPr>
          <w:rStyle w:val="lev"/>
          <w:rFonts w:ascii="Segoe UI" w:hAnsi="Segoe UI" w:cs="Segoe UI"/>
          <w:color w:val="404040"/>
          <w:sz w:val="32"/>
          <w:szCs w:val="32"/>
        </w:rPr>
      </w:pPr>
    </w:p>
    <w:p w:rsidR="00A2279D" w:rsidRDefault="00A2279D" w:rsidP="00A2279D">
      <w:pPr>
        <w:shd w:val="clear" w:color="auto" w:fill="FFFFFF"/>
        <w:spacing w:after="0" w:line="240" w:lineRule="auto"/>
        <w:jc w:val="center"/>
        <w:rPr>
          <w:rStyle w:val="lev"/>
          <w:rFonts w:ascii="Segoe UI" w:hAnsi="Segoe UI" w:cs="Segoe UI"/>
          <w:color w:val="404040"/>
          <w:sz w:val="32"/>
          <w:szCs w:val="32"/>
        </w:rPr>
      </w:pPr>
    </w:p>
    <w:p w:rsidR="00A2279D" w:rsidRPr="00A2279D" w:rsidRDefault="00A2279D" w:rsidP="00A2279D">
      <w:pPr>
        <w:shd w:val="clear" w:color="auto" w:fill="FFFFFF"/>
        <w:spacing w:after="0" w:line="240" w:lineRule="auto"/>
        <w:jc w:val="center"/>
        <w:rPr>
          <w:rFonts w:ascii="Segoe UI" w:hAnsi="Segoe UI" w:cs="Segoe UI"/>
          <w:color w:val="404040"/>
          <w:sz w:val="32"/>
          <w:szCs w:val="32"/>
        </w:rPr>
      </w:pPr>
      <w:r w:rsidRPr="00A2279D">
        <w:rPr>
          <w:rStyle w:val="lev"/>
          <w:rFonts w:ascii="Segoe UI" w:hAnsi="Segoe UI" w:cs="Segoe UI"/>
          <w:color w:val="404040"/>
          <w:sz w:val="32"/>
          <w:szCs w:val="32"/>
        </w:rPr>
        <w:t>Forum sur le soutien et le développement de la culture des céréales et des fourrages dans les oasis et les zones désertiques</w:t>
      </w:r>
      <w:r w:rsidRPr="00A2279D">
        <w:rPr>
          <w:rFonts w:ascii="Segoe UI" w:hAnsi="Segoe UI" w:cs="Segoe UI"/>
          <w:color w:val="404040"/>
          <w:sz w:val="32"/>
          <w:szCs w:val="32"/>
        </w:rPr>
        <w:t>.</w:t>
      </w:r>
    </w:p>
    <w:p w:rsidR="00A2279D" w:rsidRPr="00A2279D" w:rsidRDefault="00A2279D" w:rsidP="00A2279D">
      <w:pPr>
        <w:shd w:val="clear" w:color="auto" w:fill="FFFFFF"/>
        <w:spacing w:after="0" w:line="240" w:lineRule="auto"/>
        <w:jc w:val="center"/>
        <w:rPr>
          <w:rFonts w:ascii="Segoe UI" w:hAnsi="Segoe UI" w:cs="Segoe UI"/>
          <w:color w:val="404040"/>
          <w:sz w:val="32"/>
          <w:szCs w:val="32"/>
        </w:rPr>
      </w:pPr>
      <w:r w:rsidRPr="00A2279D">
        <w:rPr>
          <w:rFonts w:ascii="Segoe UI" w:hAnsi="Segoe UI" w:cs="Segoe UI"/>
          <w:color w:val="404040"/>
          <w:sz w:val="32"/>
          <w:szCs w:val="32"/>
        </w:rPr>
        <w:t>20 Février 2025</w:t>
      </w:r>
    </w:p>
    <w:p w:rsidR="00A2279D" w:rsidRPr="00A2279D" w:rsidRDefault="00A2279D" w:rsidP="00A2279D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proofErr w:type="spellStart"/>
      <w:r w:rsidRPr="00A0475C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ELMohdeth</w:t>
      </w:r>
      <w:proofErr w:type="spellEnd"/>
      <w:r w:rsidRPr="00A0475C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- </w:t>
      </w:r>
      <w:proofErr w:type="spellStart"/>
      <w:r w:rsidRPr="00A0475C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Faouar</w:t>
      </w:r>
      <w:proofErr w:type="spellEnd"/>
      <w:r w:rsidRPr="00A0475C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A0475C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Kébili</w:t>
      </w:r>
      <w:proofErr w:type="spellEnd"/>
    </w:p>
    <w:p w:rsidR="00A2279D" w:rsidRDefault="00A2279D" w:rsidP="00A2279D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</w:p>
    <w:p w:rsidR="00A0475C" w:rsidRPr="00A0475C" w:rsidRDefault="00A0475C" w:rsidP="00104AA2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A2279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Dans le cadre des projets</w:t>
      </w:r>
      <w:r w:rsidR="00A2279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de Transfert des Acquis de la Recherche Agricoles</w:t>
      </w:r>
      <w:r w:rsidR="00104AA2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(</w:t>
      </w:r>
      <w:r w:rsidRPr="00A2279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TARA2023</w:t>
      </w:r>
      <w:r w:rsidR="00104AA2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) </w:t>
      </w:r>
      <w:r w:rsidRPr="00A2279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 financé par l'IRESA, le Laboratoire d'Aridoculture et Cultures Oasiennes (LACO) à </w:t>
      </w:r>
      <w:r w:rsidRPr="00A0475C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l'IRA Médenine organisera un atelier ayant pour thème " Appui au développement des cultures céréalières et fourragères en milieux oasiens et en zones arides au Sud de la Tunisie", et ce </w:t>
      </w:r>
      <w:r w:rsidRPr="00A2279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le j</w:t>
      </w:r>
      <w:r w:rsidRPr="00A0475C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eudi 20 Février 2025 à </w:t>
      </w:r>
      <w:r w:rsidR="00A2279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A0475C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ELMohdeth</w:t>
      </w:r>
      <w:proofErr w:type="spellEnd"/>
      <w:r w:rsidRPr="00A0475C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- </w:t>
      </w:r>
      <w:proofErr w:type="spellStart"/>
      <w:r w:rsidRPr="00A0475C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Faouar</w:t>
      </w:r>
      <w:proofErr w:type="spellEnd"/>
      <w:r w:rsidRPr="00A0475C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A0475C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Kébili</w:t>
      </w:r>
      <w:proofErr w:type="spellEnd"/>
      <w:r w:rsidRPr="00A0475C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, en collaboration avec ses partenaires </w:t>
      </w:r>
      <w:r w:rsidRPr="00A2279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l'Office de Développement de </w:t>
      </w:r>
      <w:proofErr w:type="spellStart"/>
      <w:r w:rsidRPr="00A2279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Rjim</w:t>
      </w:r>
      <w:proofErr w:type="spellEnd"/>
      <w:r w:rsidRPr="00A2279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 </w:t>
      </w:r>
      <w:proofErr w:type="spellStart"/>
      <w:r w:rsidRPr="00A2279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Maâtoug</w:t>
      </w:r>
      <w:proofErr w:type="spellEnd"/>
      <w:r w:rsidRPr="00A2279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(</w:t>
      </w:r>
      <w:r w:rsidRPr="00A0475C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ODRM</w:t>
      </w:r>
      <w:r w:rsidRPr="00A2279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)</w:t>
      </w:r>
      <w:r w:rsidRPr="00A0475C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, </w:t>
      </w:r>
      <w:r w:rsidRPr="00A2279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le Centre de Biotechnologie de </w:t>
      </w:r>
      <w:proofErr w:type="spellStart"/>
      <w:r w:rsidRPr="00A2279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Borj</w:t>
      </w:r>
      <w:proofErr w:type="spellEnd"/>
      <w:r w:rsidRPr="00A2279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A2279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Cedria</w:t>
      </w:r>
      <w:proofErr w:type="spellEnd"/>
      <w:r w:rsidRPr="00A2279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(</w:t>
      </w:r>
      <w:r w:rsidRPr="00A0475C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CBBC</w:t>
      </w:r>
      <w:r w:rsidRPr="00A2279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)</w:t>
      </w:r>
      <w:r w:rsidRPr="00A0475C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et </w:t>
      </w:r>
      <w:r w:rsidRPr="00A2279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la </w:t>
      </w:r>
      <w:r w:rsidRPr="00A0475C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Société d'Industrie et de </w:t>
      </w:r>
      <w:proofErr w:type="spellStart"/>
      <w:r w:rsidRPr="00A0475C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Technolologie</w:t>
      </w:r>
      <w:proofErr w:type="spellEnd"/>
      <w:r w:rsidRPr="00A0475C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SIT- Groupe Poulina.</w:t>
      </w:r>
      <w:r w:rsidR="00A2279D" w:rsidRPr="00A2279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r w:rsidRPr="00A0475C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Cet atelier est programmé dans les activités de projet</w:t>
      </w:r>
      <w:r w:rsidRPr="00A2279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r w:rsidRPr="00A0475C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 "Réhabilitation durable de l’oasis El-</w:t>
      </w:r>
      <w:proofErr w:type="spellStart"/>
      <w:r w:rsidRPr="00A0475C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Mohdeth</w:t>
      </w:r>
      <w:proofErr w:type="spellEnd"/>
      <w:r w:rsidRPr="00A0475C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 à </w:t>
      </w:r>
      <w:proofErr w:type="spellStart"/>
      <w:r w:rsidRPr="00A0475C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Kébili</w:t>
      </w:r>
      <w:proofErr w:type="spellEnd"/>
      <w:r w:rsidRPr="00A0475C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 par la sélection de cultivars locaux d’orge et de luzerne adaptés aux conditions arides et à l’impact des changements climatiques : un projet de soutien à l’Office de Développement de </w:t>
      </w:r>
      <w:proofErr w:type="spellStart"/>
      <w:r w:rsidRPr="00A0475C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Rjim</w:t>
      </w:r>
      <w:proofErr w:type="spellEnd"/>
      <w:r w:rsidRPr="00A0475C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 </w:t>
      </w:r>
      <w:proofErr w:type="spellStart"/>
      <w:r w:rsidRPr="00A0475C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Maatoug</w:t>
      </w:r>
      <w:proofErr w:type="spellEnd"/>
      <w:r w:rsidRPr="00A0475C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 – </w:t>
      </w:r>
      <w:proofErr w:type="spellStart"/>
      <w:r w:rsidRPr="00A0475C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Kébili</w:t>
      </w:r>
      <w:proofErr w:type="spellEnd"/>
      <w:r w:rsidRPr="00A0475C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"</w:t>
      </w:r>
      <w:r w:rsidRPr="00A2279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  ( </w:t>
      </w:r>
      <w:r w:rsidRPr="00A0475C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REDLOM</w:t>
      </w:r>
      <w:r w:rsidRPr="00A2279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).</w:t>
      </w:r>
    </w:p>
    <w:p w:rsidR="00A0475C" w:rsidRPr="00A0475C" w:rsidRDefault="00A0475C" w:rsidP="00104AA2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A0475C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A cette occasion, les organisateurs expriment </w:t>
      </w:r>
      <w:r w:rsidR="00A2279D" w:rsidRPr="00A2279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profondément</w:t>
      </w:r>
      <w:r w:rsidRPr="00A0475C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 leurs remerciements </w:t>
      </w:r>
      <w:r w:rsidR="00A2279D" w:rsidRPr="00A2279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à l'IRESA et </w:t>
      </w:r>
      <w:r w:rsidRPr="00A0475C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aux différents conférenciers à savoir l'Institut National des  Grandes Cultures (INGC), l'Office National des Fourrages (ONF), Office de l'Elevage et des Pâturages  (OEP), l'UTAP, les CRDA des gouvernorats de </w:t>
      </w:r>
      <w:proofErr w:type="spellStart"/>
      <w:r w:rsidRPr="00A0475C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Kébili</w:t>
      </w:r>
      <w:proofErr w:type="spellEnd"/>
      <w:r w:rsidRPr="00A0475C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, Tataouine, Médenine, Tozeur, Gafsa et Gabès, le Centre Technique des dattes, l'ODS- </w:t>
      </w:r>
      <w:proofErr w:type="spellStart"/>
      <w:r w:rsidRPr="00A0475C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Kébili</w:t>
      </w:r>
      <w:proofErr w:type="spellEnd"/>
      <w:r w:rsidRPr="00A0475C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et les différent</w:t>
      </w:r>
      <w:r w:rsidR="00A2279D" w:rsidRPr="00A2279D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s promoteurs oasiens intéressés.</w:t>
      </w:r>
      <w:r w:rsidRPr="00A0475C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  </w:t>
      </w:r>
    </w:p>
    <w:p w:rsidR="000D7D78" w:rsidRDefault="000D7D78"/>
    <w:sectPr w:rsidR="000D7D78" w:rsidSect="000D7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revisionView w:inkAnnotations="0"/>
  <w:defaultTabStop w:val="708"/>
  <w:hyphenationZone w:val="425"/>
  <w:characterSpacingControl w:val="doNotCompress"/>
  <w:compat/>
  <w:rsids>
    <w:rsidRoot w:val="00A0475C"/>
    <w:rsid w:val="000D7D78"/>
    <w:rsid w:val="00104AA2"/>
    <w:rsid w:val="004901DE"/>
    <w:rsid w:val="00752443"/>
    <w:rsid w:val="008425C0"/>
    <w:rsid w:val="00A0475C"/>
    <w:rsid w:val="00A2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DE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01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901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sinterligne">
    <w:name w:val="No Spacing"/>
    <w:uiPriority w:val="1"/>
    <w:qFormat/>
    <w:rsid w:val="004901DE"/>
    <w:pPr>
      <w:spacing w:after="0" w:line="240" w:lineRule="auto"/>
    </w:pPr>
  </w:style>
  <w:style w:type="character" w:styleId="Accentuation">
    <w:name w:val="Emphasis"/>
    <w:basedOn w:val="Policepardfaut"/>
    <w:uiPriority w:val="20"/>
    <w:qFormat/>
    <w:rsid w:val="00A0475C"/>
    <w:rPr>
      <w:i/>
      <w:iCs/>
    </w:rPr>
  </w:style>
  <w:style w:type="character" w:styleId="lev">
    <w:name w:val="Strong"/>
    <w:basedOn w:val="Policepardfaut"/>
    <w:uiPriority w:val="22"/>
    <w:qFormat/>
    <w:rsid w:val="00A2279D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227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27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Jamel BenRebah</dc:creator>
  <cp:lastModifiedBy>Jamel BenRebah</cp:lastModifiedBy>
  <cp:revision>1</cp:revision>
  <dcterms:created xsi:type="dcterms:W3CDTF">2025-02-18T17:22:00Z</dcterms:created>
  <dcterms:modified xsi:type="dcterms:W3CDTF">2025-02-18T17:43:00Z</dcterms:modified>
</cp:coreProperties>
</file>